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93CBD">
      <w:pPr>
        <w:pStyle w:val="2"/>
      </w:pPr>
      <w:bookmarkStart w:id="0" w:name="_Toc51261046"/>
      <w:r>
        <w:rPr>
          <w:rFonts w:hint="eastAsia"/>
        </w:rPr>
        <w:t>固定资产调拨（转移）</w:t>
      </w:r>
      <w:bookmarkEnd w:id="0"/>
    </w:p>
    <w:p w14:paraId="31A312EB">
      <w:pPr>
        <w:pStyle w:val="3"/>
      </w:pPr>
      <w:bookmarkStart w:id="1" w:name="_Toc51261047"/>
      <w:r>
        <w:rPr>
          <w:rFonts w:hint="eastAsia"/>
        </w:rPr>
        <w:t>模块概述</w:t>
      </w:r>
      <w:bookmarkEnd w:id="1"/>
    </w:p>
    <w:p w14:paraId="3A1B59B3">
      <w:pPr>
        <w:spacing w:line="360" w:lineRule="auto"/>
        <w:ind w:firstLine="420" w:firstLineChars="200"/>
      </w:pPr>
      <w:r>
        <w:rPr>
          <w:rFonts w:hint="eastAsia"/>
        </w:rPr>
        <w:t>固定资产建卡后，有些资产要调拨给其他人保管，可发起资产调拨（转移申请）。</w:t>
      </w:r>
    </w:p>
    <w:p w14:paraId="2D1C8EB4">
      <w:pPr>
        <w:pStyle w:val="3"/>
      </w:pPr>
      <w:bookmarkStart w:id="2" w:name="_Toc51261048"/>
      <w:r>
        <w:rPr>
          <w:rFonts w:hint="eastAsia"/>
        </w:rPr>
        <w:t>谁来填资产调拨（转移）单？</w:t>
      </w:r>
      <w:bookmarkEnd w:id="2"/>
    </w:p>
    <w:p w14:paraId="76D174D8">
      <w:pPr>
        <w:spacing w:line="360" w:lineRule="auto"/>
        <w:ind w:firstLine="420"/>
      </w:pPr>
      <w:r>
        <w:rPr>
          <w:rFonts w:hint="eastAsia"/>
        </w:rPr>
        <w:t>由资产的当前的保管人</w:t>
      </w:r>
      <w:r>
        <w:rPr>
          <w:rFonts w:hint="eastAsia"/>
          <w:lang w:val="en-US" w:eastAsia="zh-CN"/>
        </w:rPr>
        <w:t>或单位资产管理人</w:t>
      </w:r>
      <w:r>
        <w:rPr>
          <w:rFonts w:hint="eastAsia"/>
        </w:rPr>
        <w:t>来填写。</w:t>
      </w:r>
    </w:p>
    <w:p w14:paraId="5A07D257">
      <w:pPr>
        <w:pStyle w:val="3"/>
      </w:pPr>
      <w:bookmarkStart w:id="3" w:name="_Toc51261049"/>
      <w:r>
        <w:rPr>
          <w:rFonts w:hint="eastAsia"/>
        </w:rPr>
        <w:t>填写调拨（转移）</w:t>
      </w:r>
      <w:bookmarkEnd w:id="3"/>
    </w:p>
    <w:p w14:paraId="114FBE37">
      <w:pPr>
        <w:spacing w:line="360" w:lineRule="auto"/>
        <w:ind w:left="420"/>
      </w:pPr>
      <w:r>
        <w:t>按照下图操作</w:t>
      </w:r>
      <w:r>
        <w:rPr>
          <w:rFonts w:hint="eastAsia"/>
        </w:rPr>
        <w:t>：</w:t>
      </w:r>
    </w:p>
    <w:p w14:paraId="06B4A8A9">
      <w:pPr>
        <w:pStyle w:val="6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点击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资产日产管理</w:t>
      </w:r>
      <w:r>
        <w:rPr>
          <w:rFonts w:hint="eastAsia"/>
          <w:lang w:eastAsia="zh-CN"/>
        </w:rPr>
        <w:t>”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>“调拨申请”的导航菜单，进入“未提交的资产调拨单”列表界面。</w:t>
      </w:r>
    </w:p>
    <w:p w14:paraId="7777500D">
      <w:pPr>
        <w:pStyle w:val="6"/>
        <w:numPr>
          <w:ilvl w:val="0"/>
          <w:numId w:val="2"/>
        </w:numPr>
        <w:spacing w:line="360" w:lineRule="auto"/>
        <w:ind w:firstLineChars="0"/>
      </w:pPr>
      <w:r>
        <w:t>点击</w:t>
      </w:r>
      <w:r>
        <w:rPr>
          <w:rFonts w:hint="eastAsia"/>
        </w:rPr>
        <w:t>右上“调拨申请”按钮，进入填单页面。</w:t>
      </w:r>
    </w:p>
    <w:p w14:paraId="5071594D">
      <w:pPr>
        <w:pStyle w:val="6"/>
        <w:numPr>
          <w:ilvl w:val="0"/>
          <w:numId w:val="2"/>
        </w:numPr>
        <w:spacing w:line="360" w:lineRule="auto"/>
        <w:ind w:firstLineChars="0"/>
      </w:pPr>
      <w:r>
        <w:t>填调拨单</w:t>
      </w:r>
      <w:r>
        <w:rPr>
          <w:rFonts w:hint="eastAsia"/>
        </w:rPr>
        <w:t>：填写转入部门、转入人、调拨原因；选择要调拨的资产后提交单据。</w:t>
      </w:r>
    </w:p>
    <w:p w14:paraId="5B8FEA99">
      <w:pPr>
        <w:pStyle w:val="6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  <w:lang w:val="en-US" w:eastAsia="zh-CN"/>
        </w:rPr>
        <w:t>点击“低值管理系统”-“低值调拨”-“调拨申请”，选择</w:t>
      </w:r>
      <w:r>
        <w:rPr>
          <w:rFonts w:hint="eastAsia"/>
        </w:rPr>
        <w:t>要调拨的资产后提交单据</w:t>
      </w:r>
    </w:p>
    <w:p w14:paraId="18857793">
      <w:pPr>
        <w:spacing w:line="360" w:lineRule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690" cy="1767840"/>
            <wp:effectExtent l="0" t="0" r="10160" b="3810"/>
            <wp:docPr id="1" name="图片 1" descr="bba16d4c-90f9-4a08-8b20-3c975d74a0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ba16d4c-90f9-4a08-8b20-3c975d74a0c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E0309">
      <w:pPr>
        <w:spacing w:line="360" w:lineRule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4310" cy="2030095"/>
            <wp:effectExtent l="0" t="0" r="2540" b="8255"/>
            <wp:docPr id="2" name="图片 2" descr="1d15c414-1fca-4d6b-bce4-6a8618cf72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d15c414-1fca-4d6b-bce4-6a8618cf72d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2C6AE">
      <w:pPr>
        <w:spacing w:line="360" w:lineRule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2405" cy="2010410"/>
            <wp:effectExtent l="0" t="0" r="4445" b="8890"/>
            <wp:docPr id="3" name="图片 3" descr="c9c07479-e5e2-49b3-bfd4-16bee939c7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9c07479-e5e2-49b3-bfd4-16bee939c77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1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75F35">
      <w:pPr>
        <w:spacing w:line="360" w:lineRule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59070" cy="1624330"/>
            <wp:effectExtent l="0" t="0" r="17780" b="13970"/>
            <wp:docPr id="4" name="图片 4" descr="1aa829cc-0bcb-422d-8a41-5220f2aaa4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aa829cc-0bcb-422d-8a41-5220f2aaa4f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BAF7C">
      <w:pPr>
        <w:pStyle w:val="3"/>
      </w:pPr>
      <w:bookmarkStart w:id="4" w:name="_Toc51261050"/>
      <w:r>
        <w:t>查看单据的审批流程</w:t>
      </w:r>
      <w:bookmarkEnd w:id="4"/>
    </w:p>
    <w:p w14:paraId="06C36EE8">
      <w:pPr>
        <w:spacing w:line="360" w:lineRule="auto"/>
        <w:ind w:firstLine="420"/>
      </w:pPr>
      <w:r>
        <w:t>您可以在单据列表界面点击</w:t>
      </w:r>
      <w:r>
        <w:rPr>
          <w:rFonts w:hint="eastAsia"/>
        </w:rPr>
        <w:t>“流程图”查看流程进度；也可以查看单据详情，在单据详情页的最下面有详细的审批流程。</w:t>
      </w:r>
    </w:p>
    <w:p w14:paraId="4B253929"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C08561"/>
    <w:multiLevelType w:val="multilevel"/>
    <w:tmpl w:val="59C08561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3"/>
      <w:lvlText w:val="%1.%2.%3."/>
      <w:lvlJc w:val="left"/>
      <w:pPr>
        <w:ind w:left="1146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5C420C3F"/>
    <w:multiLevelType w:val="multilevel"/>
    <w:tmpl w:val="5C420C3F"/>
    <w:lvl w:ilvl="0" w:tentative="0">
      <w:start w:val="1"/>
      <w:numFmt w:val="decimalEnclosedCircle"/>
      <w:lvlText w:val="%1"/>
      <w:lvlJc w:val="left"/>
      <w:pPr>
        <w:ind w:left="780" w:hanging="360"/>
      </w:pPr>
      <w:rPr>
        <w:rFonts w:ascii="Calibri" w:hAnsi="Calibri" w:eastAsia="宋体" w:cs="Times New Roman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C422A4"/>
    <w:rsid w:val="03C4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2026-03-17T00:48:00Z</dcterms:created>
  <dc:creator>The Elden King</dc:creator>
  <cp:lastModifiedBy>The Elden King</cp:lastModifiedBy>
  <dcterms:modified xsi:type="dcterms:W3CDTF">2026-03-17T00:56:39Z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44929DC34C33402E82654335B42C1968_11</vt:lpwstr>
  </property>
  <property fmtid="{D5CDD505-2E9C-101B-9397-08002B2CF9AE}" pid="4" name="KSOTemplateDocerSaveRecord">
    <vt:lpwstr>eyJoZGlkIjoiMzg3NzZkYTUyMDMyMDA0OTlkYzM1NDFlODBmYWQ4MTAiLCJ1c2VySWQiOiI1MTkyNzMyNDAifQ==</vt:lpwstr>
  </property>
</Properties>
</file>